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216475</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L1 part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6.8.3.3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 xml:space="preserve">to identify the requirements to support the </w:t>
      </w:r>
      <w:r>
        <w:rPr>
          <w:lang w:val="en-US"/>
        </w:rPr>
        <w:t>enhanced FR2-1 UEs with simultaneous DL reception from different directions with different QCL TypeD RSs on a single component carrier</w:t>
      </w:r>
      <w:r>
        <w:rPr>
          <w:rFonts w:hint="eastAsia" w:eastAsia="宋体"/>
          <w:lang w:val="en-US" w:eastAsia="zh-CN"/>
        </w:rPr>
        <w:t>. Both RF requirements enhancement and RRM requirements enhancement are involved in the core part.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0"/>
              <w:rPr>
                <w:lang w:val="en-US"/>
              </w:rPr>
            </w:pPr>
            <w:r>
              <w:rPr>
                <w:lang w:val="en-US"/>
              </w:rPr>
              <w:t xml:space="preserve">Introduce necessary requirement(s) for enhanced FR2-1 UEs with simultaneous DL reception with two different QCL TypeD RSs </w:t>
            </w:r>
            <w:r>
              <w:rPr>
                <w:highlight w:val="none"/>
                <w:lang w:val="en-US"/>
              </w:rPr>
              <w:t>on single component carrier</w:t>
            </w:r>
            <w:r>
              <w:rPr>
                <w:lang w:val="en-US"/>
              </w:rPr>
              <w:t xml:space="preserve"> with up to 4 layer DL MIMO</w:t>
            </w:r>
          </w:p>
          <w:p>
            <w:pPr>
              <w:numPr>
                <w:ilvl w:val="1"/>
                <w:numId w:val="4"/>
              </w:numPr>
              <w:spacing w:after="0"/>
              <w:rPr>
                <w:lang w:val="en-US"/>
              </w:rPr>
            </w:pPr>
            <w:r>
              <w:rPr>
                <w:rFonts w:hint="eastAsia"/>
                <w:lang w:val="en-US"/>
              </w:rPr>
              <w:t>Enhanced RF requirements:</w:t>
            </w:r>
          </w:p>
          <w:p>
            <w:pPr>
              <w:numPr>
                <w:ilvl w:val="2"/>
                <w:numId w:val="4"/>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4"/>
              </w:numPr>
              <w:spacing w:after="0"/>
              <w:rPr>
                <w:lang w:val="en-US"/>
              </w:rPr>
            </w:pPr>
            <w:r>
              <w:rPr>
                <w:lang w:val="en-US"/>
              </w:rPr>
              <w:t>The legacy spherical coverage requirement for reception from a single direction will be kept</w:t>
            </w:r>
          </w:p>
          <w:p>
            <w:pPr>
              <w:numPr>
                <w:ilvl w:val="2"/>
                <w:numId w:val="4"/>
              </w:numPr>
              <w:spacing w:after="0"/>
              <w:rPr>
                <w:lang w:val="en-US"/>
              </w:rPr>
            </w:pPr>
            <w:r>
              <w:rPr>
                <w:highlight w:val="none"/>
                <w:lang w:val="en-US"/>
              </w:rPr>
              <w:t>PC3</w:t>
            </w:r>
            <w:r>
              <w:rPr>
                <w:lang w:val="en-US"/>
              </w:rPr>
              <w:t xml:space="preserve"> will be prioritized, other power classes should be considered after the PC3 requirements framework is finalized</w:t>
            </w:r>
          </w:p>
          <w:p>
            <w:pPr>
              <w:numPr>
                <w:ilvl w:val="0"/>
                <w:numId w:val="4"/>
              </w:numPr>
              <w:spacing w:after="0"/>
              <w:rPr>
                <w:lang w:val="en-US"/>
              </w:rPr>
            </w:pPr>
            <w:r>
              <w:rPr>
                <w:lang w:val="en-US"/>
              </w:rPr>
              <w:t>Introduce necessary requirement(s) for enhanced FR2-1 UEs with simultaneous DL reception from different directions with different QCL TypeD RSs on a single component carrier</w:t>
            </w:r>
            <w:r>
              <w:rPr>
                <w:rFonts w:hint="eastAsia" w:eastAsia="宋体"/>
                <w:lang w:val="en-US" w:eastAsia="zh-CN"/>
              </w:rPr>
              <w:t xml:space="preserve">  </w:t>
            </w:r>
          </w:p>
          <w:p>
            <w:pPr>
              <w:numPr>
                <w:ilvl w:val="1"/>
                <w:numId w:val="4"/>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4"/>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4"/>
              </w:numPr>
              <w:spacing w:after="0"/>
              <w:rPr>
                <w:lang w:val="en-US"/>
              </w:rPr>
            </w:pPr>
            <w:r>
              <w:rPr>
                <w:lang w:val="en-US"/>
              </w:rPr>
              <w:t>L1-RSRP measurement delay</w:t>
            </w:r>
          </w:p>
          <w:p>
            <w:pPr>
              <w:numPr>
                <w:ilvl w:val="3"/>
                <w:numId w:val="4"/>
              </w:numPr>
              <w:spacing w:after="0"/>
              <w:rPr>
                <w:lang w:val="en-US"/>
              </w:rPr>
            </w:pPr>
            <w:r>
              <w:rPr>
                <w:lang w:val="en-US"/>
              </w:rPr>
              <w:t>L3 measurement delay (both cell detection delay and measurement period can be considered)</w:t>
            </w:r>
          </w:p>
          <w:p>
            <w:pPr>
              <w:numPr>
                <w:ilvl w:val="4"/>
                <w:numId w:val="4"/>
              </w:numPr>
              <w:spacing w:after="0"/>
              <w:rPr>
                <w:lang w:val="en-US"/>
              </w:rPr>
            </w:pPr>
            <w:r>
              <w:rPr>
                <w:lang w:val="en-US"/>
              </w:rPr>
              <w:t>The starting point is the enhancements related to L1-RSRP measurement enhancements</w:t>
            </w:r>
          </w:p>
          <w:p>
            <w:pPr>
              <w:numPr>
                <w:ilvl w:val="3"/>
                <w:numId w:val="4"/>
              </w:numPr>
              <w:spacing w:after="0"/>
              <w:rPr>
                <w:lang w:val="en-US"/>
              </w:rPr>
            </w:pPr>
            <w:r>
              <w:rPr>
                <w:lang w:val="en-US"/>
              </w:rPr>
              <w:t>RLM and BFD/CBD requirements</w:t>
            </w:r>
          </w:p>
          <w:p>
            <w:pPr>
              <w:numPr>
                <w:ilvl w:val="3"/>
                <w:numId w:val="4"/>
              </w:numPr>
              <w:spacing w:after="0"/>
              <w:rPr>
                <w:lang w:val="en-US"/>
              </w:rPr>
            </w:pPr>
            <w:r>
              <w:rPr>
                <w:lang w:val="en-US"/>
              </w:rPr>
              <w:t>Scheduling/measurement restrictions</w:t>
            </w:r>
          </w:p>
          <w:p>
            <w:pPr>
              <w:numPr>
                <w:ilvl w:val="3"/>
                <w:numId w:val="4"/>
              </w:numPr>
              <w:spacing w:after="0"/>
              <w:rPr>
                <w:lang w:val="en-US"/>
              </w:rPr>
            </w:pPr>
            <w:r>
              <w:rPr>
                <w:lang w:val="en-US"/>
              </w:rPr>
              <w:t>TCI state switching delay with dual TCI</w:t>
            </w:r>
          </w:p>
          <w:p>
            <w:pPr>
              <w:numPr>
                <w:ilvl w:val="3"/>
                <w:numId w:val="4"/>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w:t>
            </w:r>
          </w:p>
          <w:p>
            <w:pPr>
              <w:numPr>
                <w:ilvl w:val="0"/>
                <w:numId w:val="5"/>
              </w:numPr>
              <w:spacing w:after="0"/>
              <w:rPr>
                <w:rFonts w:hint="eastAsia" w:eastAsia="宋体"/>
                <w:vertAlign w:val="baseline"/>
                <w:lang w:val="en-US" w:eastAsia="zh-CN"/>
              </w:rPr>
            </w:pPr>
            <w:r>
              <w:rPr>
                <w:rFonts w:hint="eastAsia"/>
                <w:bCs/>
                <w:lang w:eastAsia="ja-JP"/>
              </w:rPr>
              <w:t>T</w:t>
            </w:r>
            <w:r>
              <w:rPr>
                <w:bCs/>
                <w:lang w:eastAsia="ja-JP"/>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default" w:eastAsia="宋体"/>
          <w:kern w:val="2"/>
          <w:sz w:val="20"/>
          <w:szCs w:val="20"/>
          <w:lang w:val="en-US" w:eastAsia="zh-CN"/>
        </w:rPr>
      </w:pPr>
      <w:r>
        <w:rPr>
          <w:rFonts w:hint="eastAsia" w:eastAsia="宋体"/>
          <w:lang w:val="en-US" w:eastAsia="zh-CN"/>
        </w:rPr>
        <w:t xml:space="preserve">In last RAN4 meeting, RAN4 has spread extensive discussion around simultaneous multi-panel/multi-beam reception and some high-level agreements were achieved in [2]. In this document, we provide our further analysis focus on the L1 part RRM aspects, including L1-RSRP measurement, RLM and BFD/CBD aspects.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orienting toward single-panel UE in Rel-15. </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and Rel-17, in order to support multi-TRP scenario, some enhancements for receiving beam/panel were achieved:</w:t>
      </w:r>
    </w:p>
    <w:p>
      <w:pPr>
        <w:numPr>
          <w:ilvl w:val="0"/>
          <w:numId w:val="6"/>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6"/>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 support of FR2 CA with IBM and CBM with simultaneous DL reception on different component carriers was defined. For the UE capable of IBM, actually such UE has the capability of DL simultaneous reception on different UE panels/RF chains using different beams.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1"/>
          <w:szCs w:val="21"/>
          <w:lang w:val="en-US" w:eastAsia="zh-CN"/>
        </w:rPr>
        <w:t xml:space="preserve">However, no matter Rel-15 or Rel-16/17, not any enhanced RAN4 requirements were defined for FR2 UEs capable of simultaneous multi-panel/beam reception.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rPr>
          <w:rFonts w:hint="eastAsia"/>
          <w:lang w:val="en-US" w:eastAsia="zh-CN"/>
        </w:rPr>
      </w:pPr>
      <w:r>
        <w:rPr>
          <w:rFonts w:hint="eastAsia"/>
          <w:lang w:val="en-US" w:eastAsia="zh-CN"/>
        </w:rPr>
        <w:t>For RRM impacts caused by simultaneous DL reception from different directions with different QCL TypeD RSs on a single component carrier, we provide our analysis around L1 part as bellow.</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L1-RSRP measurement delay</w:t>
      </w:r>
    </w:p>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In the WF[2] approved in last meeting, it has been approved that the following aspects around L1 measurement should be considered in the multi-Rx chain WI:</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after="0" w:line="240" w:lineRule="auto"/>
              <w:textAlignment w:val="auto"/>
              <w:rPr>
                <w:rFonts w:hint="default" w:eastAsia="宋体"/>
                <w:szCs w:val="24"/>
                <w:lang w:val="en-US" w:eastAsia="zh-CN"/>
              </w:rPr>
            </w:pPr>
            <w:r>
              <w:rPr>
                <w:rFonts w:hint="eastAsia" w:eastAsia="宋体"/>
                <w:szCs w:val="24"/>
                <w:highlight w:val="green"/>
                <w:lang w:val="en-US" w:eastAsia="zh-CN"/>
              </w:rPr>
              <w:t>Agreements</w:t>
            </w:r>
            <w:r>
              <w:rPr>
                <w:rFonts w:hint="eastAsia" w:eastAsia="宋体"/>
                <w:szCs w:val="24"/>
                <w:lang w:val="en-US" w:eastAsia="zh-CN"/>
              </w:rPr>
              <w:t>:</w:t>
            </w:r>
          </w:p>
          <w:p>
            <w:pPr>
              <w:pStyle w:val="27"/>
              <w:keepNext w:val="0"/>
              <w:keepLines w:val="0"/>
              <w:pageBreakBefore w:val="0"/>
              <w:widowControl w:val="0"/>
              <w:numPr>
                <w:ilvl w:val="0"/>
                <w:numId w:val="7"/>
              </w:numPr>
              <w:kinsoku/>
              <w:wordWrap/>
              <w:overflowPunct/>
              <w:topLinePunct w:val="0"/>
              <w:autoSpaceDE/>
              <w:autoSpaceDN/>
              <w:bidi w:val="0"/>
              <w:adjustRightInd/>
              <w:snapToGrid/>
              <w:spacing w:after="0" w:line="240" w:lineRule="auto"/>
              <w:ind w:left="720" w:firstLineChars="0"/>
              <w:textAlignment w:val="auto"/>
              <w:rPr>
                <w:rFonts w:eastAsia="宋体"/>
                <w:szCs w:val="24"/>
                <w:lang w:eastAsia="zh-CN"/>
              </w:rPr>
            </w:pPr>
            <w:r>
              <w:rPr>
                <w:rFonts w:eastAsia="宋体"/>
                <w:szCs w:val="24"/>
                <w:lang w:eastAsia="zh-CN"/>
              </w:rPr>
              <w:t xml:space="preserve">Following L1 measurements related requirements are </w:t>
            </w:r>
            <w:r>
              <w:rPr>
                <w:rFonts w:hint="eastAsia" w:eastAsia="宋体"/>
                <w:szCs w:val="24"/>
                <w:lang w:eastAsia="zh-CN"/>
              </w:rPr>
              <w:t>c</w:t>
            </w:r>
            <w:r>
              <w:rPr>
                <w:rFonts w:eastAsia="宋体"/>
                <w:szCs w:val="24"/>
                <w:lang w:eastAsia="zh-CN"/>
              </w:rPr>
              <w:t>onsidered in the multi-Rx chain WI</w:t>
            </w:r>
          </w:p>
          <w:p>
            <w:pPr>
              <w:pStyle w:val="27"/>
              <w:keepNext w:val="0"/>
              <w:keepLines w:val="0"/>
              <w:pageBreakBefore w:val="0"/>
              <w:widowControl w:val="0"/>
              <w:numPr>
                <w:ilvl w:val="1"/>
                <w:numId w:val="7"/>
              </w:numPr>
              <w:kinsoku/>
              <w:wordWrap/>
              <w:overflowPunct/>
              <w:topLinePunct w:val="0"/>
              <w:autoSpaceDE/>
              <w:autoSpaceDN/>
              <w:bidi w:val="0"/>
              <w:adjustRightInd/>
              <w:snapToGrid/>
              <w:spacing w:after="0" w:line="240" w:lineRule="auto"/>
              <w:ind w:left="1440" w:firstLineChars="0"/>
              <w:textAlignment w:val="auto"/>
              <w:rPr>
                <w:rFonts w:eastAsia="宋体"/>
                <w:szCs w:val="24"/>
                <w:lang w:eastAsia="zh-CN"/>
              </w:rPr>
            </w:pPr>
            <w:r>
              <w:rPr>
                <w:rFonts w:eastAsia="宋体"/>
                <w:szCs w:val="24"/>
                <w:lang w:eastAsia="zh-CN"/>
              </w:rPr>
              <w:t>L1-RSRP measurement</w:t>
            </w:r>
          </w:p>
          <w:p>
            <w:pPr>
              <w:pStyle w:val="27"/>
              <w:keepNext w:val="0"/>
              <w:keepLines w:val="0"/>
              <w:pageBreakBefore w:val="0"/>
              <w:widowControl w:val="0"/>
              <w:numPr>
                <w:ilvl w:val="1"/>
                <w:numId w:val="7"/>
              </w:numPr>
              <w:kinsoku/>
              <w:wordWrap/>
              <w:overflowPunct/>
              <w:topLinePunct w:val="0"/>
              <w:autoSpaceDE/>
              <w:autoSpaceDN/>
              <w:bidi w:val="0"/>
              <w:adjustRightInd/>
              <w:snapToGrid/>
              <w:spacing w:after="0" w:line="240" w:lineRule="auto"/>
              <w:ind w:left="1440" w:firstLineChars="0"/>
              <w:textAlignment w:val="auto"/>
              <w:rPr>
                <w:rFonts w:eastAsia="宋体"/>
                <w:szCs w:val="24"/>
                <w:lang w:eastAsia="zh-CN"/>
              </w:rPr>
            </w:pPr>
            <w:r>
              <w:rPr>
                <w:rFonts w:eastAsia="宋体"/>
                <w:szCs w:val="24"/>
                <w:lang w:eastAsia="zh-CN"/>
              </w:rPr>
              <w:t>BFD/CBD</w:t>
            </w:r>
          </w:p>
          <w:p>
            <w:pPr>
              <w:pStyle w:val="27"/>
              <w:keepNext w:val="0"/>
              <w:keepLines w:val="0"/>
              <w:pageBreakBefore w:val="0"/>
              <w:widowControl w:val="0"/>
              <w:numPr>
                <w:ilvl w:val="1"/>
                <w:numId w:val="7"/>
              </w:numPr>
              <w:kinsoku/>
              <w:wordWrap/>
              <w:overflowPunct/>
              <w:topLinePunct w:val="0"/>
              <w:autoSpaceDE/>
              <w:autoSpaceDN/>
              <w:bidi w:val="0"/>
              <w:adjustRightInd/>
              <w:snapToGrid/>
              <w:spacing w:after="0" w:line="240" w:lineRule="auto"/>
              <w:ind w:left="1440" w:firstLineChars="0"/>
              <w:textAlignment w:val="auto"/>
              <w:rPr>
                <w:rFonts w:eastAsia="宋体"/>
                <w:szCs w:val="24"/>
                <w:lang w:eastAsia="zh-CN"/>
              </w:rPr>
            </w:pPr>
            <w:r>
              <w:rPr>
                <w:rFonts w:hint="eastAsia" w:eastAsia="宋体"/>
                <w:szCs w:val="24"/>
                <w:lang w:eastAsia="zh-CN"/>
              </w:rPr>
              <w:t>R</w:t>
            </w:r>
            <w:r>
              <w:rPr>
                <w:rFonts w:eastAsia="宋体"/>
                <w:szCs w:val="24"/>
                <w:lang w:eastAsia="zh-CN"/>
              </w:rPr>
              <w:t>LM</w:t>
            </w:r>
          </w:p>
          <w:p>
            <w:pPr>
              <w:pStyle w:val="27"/>
              <w:keepNext w:val="0"/>
              <w:keepLines w:val="0"/>
              <w:pageBreakBefore w:val="0"/>
              <w:widowControl w:val="0"/>
              <w:numPr>
                <w:ilvl w:val="1"/>
                <w:numId w:val="7"/>
              </w:numPr>
              <w:kinsoku/>
              <w:wordWrap/>
              <w:overflowPunct/>
              <w:topLinePunct w:val="0"/>
              <w:autoSpaceDE/>
              <w:autoSpaceDN/>
              <w:bidi w:val="0"/>
              <w:adjustRightInd/>
              <w:snapToGrid/>
              <w:spacing w:after="0" w:line="240" w:lineRule="auto"/>
              <w:ind w:left="1440" w:firstLineChars="0"/>
              <w:textAlignment w:val="auto"/>
              <w:rPr>
                <w:rFonts w:eastAsia="宋体"/>
                <w:szCs w:val="24"/>
                <w:lang w:eastAsia="zh-CN"/>
              </w:rPr>
            </w:pPr>
            <w:r>
              <w:rPr>
                <w:rFonts w:eastAsia="宋体"/>
                <w:szCs w:val="24"/>
                <w:lang w:eastAsia="zh-CN"/>
              </w:rPr>
              <w:t>L1-SINR</w:t>
            </w:r>
          </w:p>
          <w:p>
            <w:pPr>
              <w:pStyle w:val="27"/>
              <w:keepNext w:val="0"/>
              <w:keepLines w:val="0"/>
              <w:pageBreakBefore w:val="0"/>
              <w:widowControl w:val="0"/>
              <w:numPr>
                <w:ilvl w:val="1"/>
                <w:numId w:val="7"/>
              </w:numPr>
              <w:kinsoku/>
              <w:wordWrap/>
              <w:overflowPunct/>
              <w:topLinePunct w:val="0"/>
              <w:autoSpaceDE/>
              <w:autoSpaceDN/>
              <w:bidi w:val="0"/>
              <w:adjustRightInd/>
              <w:snapToGrid/>
              <w:spacing w:after="0" w:line="240" w:lineRule="auto"/>
              <w:ind w:left="1440" w:firstLineChars="0"/>
              <w:textAlignment w:val="auto"/>
              <w:rPr>
                <w:rFonts w:hint="default" w:eastAsia="宋体"/>
                <w:vertAlign w:val="baseline"/>
                <w:lang w:val="en-US" w:eastAsia="zh-CN"/>
              </w:rPr>
            </w:pPr>
            <w:r>
              <w:rPr>
                <w:rFonts w:hint="eastAsia" w:eastAsia="宋体"/>
                <w:szCs w:val="24"/>
                <w:lang w:eastAsia="zh-CN"/>
              </w:rPr>
              <w:t>T</w:t>
            </w:r>
            <w:r>
              <w:rPr>
                <w:rFonts w:eastAsia="宋体"/>
                <w:szCs w:val="24"/>
                <w:lang w:eastAsia="zh-CN"/>
              </w:rPr>
              <w:t>CI state switching with dual TCI</w:t>
            </w:r>
          </w:p>
          <w:p>
            <w:pPr>
              <w:pStyle w:val="27"/>
              <w:keepNext w:val="0"/>
              <w:keepLines w:val="0"/>
              <w:pageBreakBefore w:val="0"/>
              <w:widowControl w:val="0"/>
              <w:numPr>
                <w:ilvl w:val="1"/>
                <w:numId w:val="7"/>
              </w:numPr>
              <w:kinsoku/>
              <w:wordWrap/>
              <w:overflowPunct/>
              <w:topLinePunct w:val="0"/>
              <w:autoSpaceDE/>
              <w:autoSpaceDN/>
              <w:bidi w:val="0"/>
              <w:adjustRightInd/>
              <w:snapToGrid/>
              <w:spacing w:after="0" w:line="240" w:lineRule="auto"/>
              <w:ind w:left="1440" w:firstLineChars="0"/>
              <w:textAlignment w:val="auto"/>
              <w:rPr>
                <w:rFonts w:hint="default" w:eastAsia="宋体"/>
                <w:vertAlign w:val="baseline"/>
                <w:lang w:val="en-US" w:eastAsia="zh-CN"/>
              </w:rPr>
            </w:pPr>
            <w:r>
              <w:rPr>
                <w:rFonts w:eastAsia="宋体"/>
                <w:szCs w:val="24"/>
                <w:lang w:eastAsia="zh-CN"/>
              </w:rPr>
              <w:t>Scheduling/measurement restrictions</w:t>
            </w:r>
          </w:p>
        </w:tc>
      </w:tr>
    </w:tbl>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Regarding to L1-RSRP measurement requirements enhancement, the enhancements can be reflected into the following aspects:</w:t>
      </w:r>
    </w:p>
    <w:p>
      <w:pPr>
        <w:pStyle w:val="8"/>
        <w:numPr>
          <w:ilvl w:val="0"/>
          <w:numId w:val="8"/>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The reduction of scaling factor N for Rx beam sweeping</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To our understanding, currently in FR2, UE is usually equipped with multiple panels to realize all beam directions coverage, where each one panel provide partial beam directions coverage. If not supporting simultaneous multi-panel Rx, the UE has to perform DL reception from single beam direction at a time, accordingly only need to activate one panel at a time for DL receptions from one beam direction. Whether UE uses the same panel or different panel to receive the signals, which is transparent to NW and up to UE implementation. Here due to UE is capable of reception from two panels simultaneously, so the beam sweeping under one panel can be reduced, for example reduce to [half of legacy N].</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Legacy UE can only activate one antenna panel at a time for DL reception, and the exact activated panel is transparent to NW and up to UE implementation.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UE capable of simultaneous reception from two panels, the beam sweeping under one panel can be reduced. For example reduce to [half of legacy N].</w:t>
      </w:r>
    </w:p>
    <w:p>
      <w:pPr>
        <w:pStyle w:val="8"/>
        <w:numPr>
          <w:ilvl w:val="0"/>
          <w:numId w:val="8"/>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Scheduling restriction</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In fact this issue aims to identify whether simultaneous reception between RS used for L1-RSRP measurement and DL data is supported or not. In our opinion, If support, then the scheduling restriction due to L1-RSRP measurement can be relaxed; Otherwise, legacy scheduling restriction should be reused.</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According to the target of </w:t>
      </w:r>
      <w:r>
        <w:rPr>
          <w:rFonts w:hint="default" w:eastAsia="宋体"/>
          <w:lang w:val="en-US" w:eastAsia="zh-CN"/>
        </w:rPr>
        <w:t>“with simultaneous DL reception from different directions with different QCL TypeD RSs”</w:t>
      </w:r>
      <w:r>
        <w:rPr>
          <w:rFonts w:hint="eastAsia" w:eastAsia="宋体"/>
          <w:lang w:val="en-US" w:eastAsia="zh-CN"/>
        </w:rPr>
        <w:t xml:space="preserve">, we believe simultaneous reception between </w:t>
      </w:r>
      <w:r>
        <w:rPr>
          <w:rFonts w:hint="eastAsia" w:eastAsia="宋体"/>
          <w:b/>
          <w:bCs/>
          <w:lang w:val="en-US" w:eastAsia="zh-CN"/>
        </w:rPr>
        <w:t>two RSs</w:t>
      </w:r>
      <w:r>
        <w:rPr>
          <w:rFonts w:hint="eastAsia" w:eastAsia="宋体"/>
          <w:lang w:val="en-US" w:eastAsia="zh-CN"/>
        </w:rPr>
        <w:t xml:space="preserve"> or between </w:t>
      </w:r>
      <w:r>
        <w:rPr>
          <w:rFonts w:hint="eastAsia" w:eastAsia="宋体"/>
          <w:b/>
          <w:bCs/>
          <w:lang w:val="en-US" w:eastAsia="zh-CN"/>
        </w:rPr>
        <w:t>one RS used for L1-RSRP measurement and DL data</w:t>
      </w:r>
      <w:r>
        <w:rPr>
          <w:rFonts w:hint="eastAsia" w:eastAsia="宋体"/>
          <w:lang w:val="en-US" w:eastAsia="zh-CN"/>
        </w:rPr>
        <w:t xml:space="preserve"> are both included in the scope given that the source RS providing QCL TypeD for the two receiving signals are different. Based on such understanding, the scheduling restriction since of L1-RSRP measurement can be relaxed.</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 xml:space="preserve">Considering only single carrier case is considered in this WID, so we can only focus on single carrier case when we considering scheduling restriction relaxation. We believe the relaxation can be applied for both SSB based and CSI-RS based. I.e. when UE performs L1-RSRP measurement based on SSB or CSI-RS in one panel, at the same time, UE can receive DL data with another different beam through the other panel. So the scheduling restriction within the same carrier is not necessary any more.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We believe simultaneous reception between two RSs or between one RS used for L1-RSRP measurement and DL data are both included in the scope given that the source RS providing QCL TypeD for the two receiving signals are different.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When UE performs L1-RSRP measurement based on SSB or CSI-RS in one panel, at the same time, UE can receive DL data with another different beam through the other panel. So the scheduling restriction within the same carrier is not necessary any more.</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lang w:val="en-US" w:eastAsia="zh-CN"/>
        </w:rPr>
        <w:t>Further more, we noticed some company referred that it is possible that the multi-panel capable UE can still work under CA or DC scenario provided that simultaneous reception from different beam directions only happens in a single carrier. In such case, the relaxation of scheduling restriction on multiple carriers within a same band can be further discussed.</w:t>
      </w:r>
    </w:p>
    <w:p>
      <w:pPr>
        <w:pStyle w:val="8"/>
        <w:numPr>
          <w:ilvl w:val="0"/>
          <w:numId w:val="8"/>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Measurement restriction</w:t>
      </w:r>
    </w:p>
    <w:p>
      <w:pPr>
        <w:pStyle w:val="8"/>
        <w:numPr>
          <w:ilvl w:val="0"/>
          <w:numId w:val="0"/>
        </w:numPr>
        <w:rPr>
          <w:rFonts w:hint="eastAsia"/>
          <w:lang w:val="en-US" w:eastAsia="zh-CN"/>
        </w:rPr>
      </w:pPr>
      <w:r>
        <w:rPr>
          <w:rFonts w:hint="eastAsia"/>
          <w:lang w:val="en-US" w:eastAsia="zh-CN"/>
        </w:rPr>
        <w:t>Similar as the analysis on scheduling restriction, UE capable of multi-panel Rx can simultaneously receive two RSs in different beam directions. So the measurement restriction on a single carrier can be relaxed. Referring to the multiple carriers within a same band case, needs further discussion.</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Similar as scheduling restriction, the measurement restriction within the same carrier is not necessary any more. </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RLM and BFD/CBD requirements</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For RLM measurements, not any RLM enhancement due to mTRP was introduced in Rel-16/17. The RLM-RS resources are still cell-specific configured. So similar as the analysis above for L1-RSRP measurement, the scaling factor of Rx beam sweeping, sharing factor for collision with RRM measurement, scheduling restriction and measurement restriction may be enhanced due to simultaneous multi-panel Rx.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Referring to RLM, similar as L1-RSRP measurement, the scaling factor of Rx beam sweeping, sharing factor for collision with RRM measurement, scheduling restriction and measurement restriction may be enhanced due to simultaneous multi-panel Rx.</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For BFD/CBD measurements, during Rel-17, TRP specific BFD and CBD were introduced and the requirements were identified. The UE is required to measure RS resources in two resource sets. Since simultaneous reception is not supported by Rel-17 UE, the UE can only measure the two sets sequentially. While for UE capable of simultaneous multi-panel Rx, we believe the UE can perform BFD/CBD measurement based on the two resource sets simultaneously, so the sharing factor </w:t>
      </w:r>
      <w:r>
        <w:rPr>
          <w:rFonts w:eastAsia="宋体"/>
          <w:lang w:val="fr-FR"/>
        </w:rPr>
        <w:t>P</w:t>
      </w:r>
      <w:r>
        <w:rPr>
          <w:rFonts w:eastAsia="宋体"/>
          <w:vertAlign w:val="subscript"/>
          <w:lang w:val="fr-FR"/>
        </w:rPr>
        <w:t>TRP</w:t>
      </w:r>
      <w:r>
        <w:rPr>
          <w:rFonts w:hint="eastAsia" w:eastAsia="宋体"/>
          <w:lang w:val="en-US" w:eastAsia="zh-CN"/>
        </w:rPr>
        <w:t xml:space="preserve"> can be relaxed or removed. Similarly, the scaling factor of Rx beam sweeping, sharing factor for collision with RRM measurement, scheduling restriction and measurement restriction may be enhanced due to simultaneous multi-panel Rx.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Referring to BFD/CBD, similar as L1-RSRP measurement, the scaling factor of Rx beam sweeping, sharing factor for collision with RRM measurement, scheduling restriction and measurement restriction may be enhanced due to simultaneous multi-panel Rx. Further more, for UE capable of simultaneous multi-panel Rx, the UE can perform BFD/CBD measurement based on the two resource sets simultaneously, so the sharing factor PTRP can be relaxed or removed.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core requirements for simultaneous DL reception from different directions</w:t>
      </w:r>
      <w:r>
        <w:rPr>
          <w:rFonts w:eastAsia="宋体"/>
          <w:bCs/>
          <w:color w:val="auto"/>
          <w:sz w:val="20"/>
          <w:szCs w:val="20"/>
          <w:lang w:val="en-GB"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Legacy UE can only activate one antenna panel at a time for DL reception, and the exact activated panel is transparent to NW and up to UE implementation. For the UE capable of simultaneous reception from two panels, the beam sweeping under one panel can be reduced. For example reduce to [half of legacy N].</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We believe simultaneous reception between two RSs or between one RS used for L1-RSRP measurement and DL data are both included in the scope given that the source RS providing QCL TypeD for the two receiving signals are different.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When UE performs L1-RSRP measurement based on SSB or CSI-RS in one panel, at the same time, UE can receive DL data with another different beam in the other panel. So the scheduling restriction within the same carrier is not necessary any more.</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Similar as scheduling restriction, the measurement restriction within the same carrier is not necessary any more.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Referring to RLM, similar as L1-RSRP measurement, the scaling factor of Rx beam sweeping, sharing factor for collision with RRM measurement, scheduling restriction and measurement restriction may be enhanced due to simultaneous multi-panel Rx.</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Referring to BFD/CBD, similar as L1-RSRP measurement, the scaling factor of Rx beam sweeping, sharing factor for collision with RRM measurement, scheduling restriction and measurement restriction may be enhanced due to simultaneous multi-panel Rx. Further more, for UE capable of simultaneous multi-panel Rx, the UE can perform BFD/CBD measurement based on the two resource sets simultaneously, so the sharing factor PTRP can be relaxed or removed.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1753</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9"/>
        </w:numPr>
        <w:ind w:leftChars="0"/>
        <w:rPr>
          <w:rFonts w:hint="default"/>
          <w:color w:val="auto"/>
          <w:highlight w:val="none"/>
          <w:lang w:val="en-US" w:eastAsia="zh-CN"/>
        </w:rPr>
      </w:pPr>
      <w:r>
        <w:rPr>
          <w:rFonts w:hint="eastAsia"/>
          <w:color w:val="auto"/>
          <w:highlight w:val="none"/>
          <w:lang w:val="en-US" w:eastAsia="zh-CN"/>
        </w:rPr>
        <w:t xml:space="preserve">R4-2214344 </w:t>
      </w:r>
      <w:r>
        <w:rPr>
          <w:rFonts w:hint="default"/>
          <w:color w:val="auto"/>
          <w:highlight w:val="none"/>
          <w:lang w:val="en-US" w:eastAsia="zh-CN"/>
        </w:rPr>
        <w:t>“WF on FR2 multi-Rx RRM”</w:t>
      </w:r>
      <w:r>
        <w:rPr>
          <w:rFonts w:hint="eastAsia"/>
          <w:color w:val="auto"/>
          <w:highlight w:val="none"/>
          <w:lang w:val="en-US" w:eastAsia="zh-CN"/>
        </w:rPr>
        <w:t>, vivo.</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BFF1F8C2"/>
    <w:multiLevelType w:val="singleLevel"/>
    <w:tmpl w:val="BFF1F8C2"/>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7C32FD6"/>
    <w:multiLevelType w:val="multilevel"/>
    <w:tmpl w:val="27C32FD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5"/>
  </w:num>
  <w:num w:numId="3">
    <w:abstractNumId w:val="2"/>
  </w:num>
  <w:num w:numId="4">
    <w:abstractNumId w:val="4"/>
  </w:num>
  <w:num w:numId="5">
    <w:abstractNumId w:val="3"/>
  </w:num>
  <w:num w:numId="6">
    <w:abstractNumId w:val="6"/>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7D0CB3"/>
    <w:rsid w:val="03D4720A"/>
    <w:rsid w:val="03E04DEA"/>
    <w:rsid w:val="04654053"/>
    <w:rsid w:val="04793516"/>
    <w:rsid w:val="047A3CFF"/>
    <w:rsid w:val="04885243"/>
    <w:rsid w:val="04A614F6"/>
    <w:rsid w:val="05317828"/>
    <w:rsid w:val="05477E90"/>
    <w:rsid w:val="05BB5AB9"/>
    <w:rsid w:val="05C42923"/>
    <w:rsid w:val="05F562DB"/>
    <w:rsid w:val="06963BA6"/>
    <w:rsid w:val="06965F3C"/>
    <w:rsid w:val="07CD3CDD"/>
    <w:rsid w:val="084B363C"/>
    <w:rsid w:val="0855671D"/>
    <w:rsid w:val="089009EB"/>
    <w:rsid w:val="09395C1E"/>
    <w:rsid w:val="09716BCA"/>
    <w:rsid w:val="098C1CEA"/>
    <w:rsid w:val="09D64B23"/>
    <w:rsid w:val="09E644B8"/>
    <w:rsid w:val="0B12013A"/>
    <w:rsid w:val="0B1C5C6A"/>
    <w:rsid w:val="0B243EFB"/>
    <w:rsid w:val="0B3D3C2F"/>
    <w:rsid w:val="0B5D15B4"/>
    <w:rsid w:val="0BAC06FA"/>
    <w:rsid w:val="0BB0429A"/>
    <w:rsid w:val="0BFF5FC6"/>
    <w:rsid w:val="0C276675"/>
    <w:rsid w:val="0C394019"/>
    <w:rsid w:val="0C443848"/>
    <w:rsid w:val="0EC91588"/>
    <w:rsid w:val="0F12673C"/>
    <w:rsid w:val="0F8009F9"/>
    <w:rsid w:val="103765F0"/>
    <w:rsid w:val="10997F43"/>
    <w:rsid w:val="10DE7BAE"/>
    <w:rsid w:val="11023BFD"/>
    <w:rsid w:val="110404BB"/>
    <w:rsid w:val="111C20F6"/>
    <w:rsid w:val="11ED345F"/>
    <w:rsid w:val="120774A3"/>
    <w:rsid w:val="12580C13"/>
    <w:rsid w:val="136E2316"/>
    <w:rsid w:val="13A463A1"/>
    <w:rsid w:val="14006D19"/>
    <w:rsid w:val="1414436B"/>
    <w:rsid w:val="1481754F"/>
    <w:rsid w:val="148F5721"/>
    <w:rsid w:val="14AC57CD"/>
    <w:rsid w:val="15ED3E9B"/>
    <w:rsid w:val="164514BE"/>
    <w:rsid w:val="170F06AA"/>
    <w:rsid w:val="17225508"/>
    <w:rsid w:val="180A6E32"/>
    <w:rsid w:val="183F2CD2"/>
    <w:rsid w:val="1856323E"/>
    <w:rsid w:val="18AF55E3"/>
    <w:rsid w:val="18B1519A"/>
    <w:rsid w:val="18CD0507"/>
    <w:rsid w:val="195D7D48"/>
    <w:rsid w:val="19852D03"/>
    <w:rsid w:val="1A6F1A83"/>
    <w:rsid w:val="1AD01A1B"/>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305377E"/>
    <w:rsid w:val="231A76D5"/>
    <w:rsid w:val="24122135"/>
    <w:rsid w:val="24D4257E"/>
    <w:rsid w:val="24F5519F"/>
    <w:rsid w:val="2572202B"/>
    <w:rsid w:val="2605683C"/>
    <w:rsid w:val="26661176"/>
    <w:rsid w:val="26BB1419"/>
    <w:rsid w:val="27315D1D"/>
    <w:rsid w:val="27B748AA"/>
    <w:rsid w:val="27CB4CB9"/>
    <w:rsid w:val="281C2F58"/>
    <w:rsid w:val="292D5BF2"/>
    <w:rsid w:val="292F6239"/>
    <w:rsid w:val="29642C4B"/>
    <w:rsid w:val="29A66B9A"/>
    <w:rsid w:val="2A34628C"/>
    <w:rsid w:val="2A724D05"/>
    <w:rsid w:val="2A7E505C"/>
    <w:rsid w:val="2AAD7E69"/>
    <w:rsid w:val="2AC85686"/>
    <w:rsid w:val="2AD04B5F"/>
    <w:rsid w:val="2B39549B"/>
    <w:rsid w:val="2BC05B2C"/>
    <w:rsid w:val="2BD617C5"/>
    <w:rsid w:val="2C112837"/>
    <w:rsid w:val="2C360608"/>
    <w:rsid w:val="2E014790"/>
    <w:rsid w:val="2EE77680"/>
    <w:rsid w:val="2F2F0FC8"/>
    <w:rsid w:val="301C6BB6"/>
    <w:rsid w:val="30723652"/>
    <w:rsid w:val="30766FB2"/>
    <w:rsid w:val="319708F2"/>
    <w:rsid w:val="31B14C9E"/>
    <w:rsid w:val="31FE2981"/>
    <w:rsid w:val="33C522D7"/>
    <w:rsid w:val="33F228A5"/>
    <w:rsid w:val="34807672"/>
    <w:rsid w:val="351B1E30"/>
    <w:rsid w:val="358E5935"/>
    <w:rsid w:val="35B06C6A"/>
    <w:rsid w:val="36941AA2"/>
    <w:rsid w:val="36D37423"/>
    <w:rsid w:val="379D23F9"/>
    <w:rsid w:val="37E74183"/>
    <w:rsid w:val="3A054591"/>
    <w:rsid w:val="3A185287"/>
    <w:rsid w:val="3A1F46B8"/>
    <w:rsid w:val="3A692CD0"/>
    <w:rsid w:val="3B270929"/>
    <w:rsid w:val="3B3D5571"/>
    <w:rsid w:val="3B5D276F"/>
    <w:rsid w:val="3B673620"/>
    <w:rsid w:val="3B9A1F29"/>
    <w:rsid w:val="3CE4646B"/>
    <w:rsid w:val="3D5E7AA8"/>
    <w:rsid w:val="3D6F2596"/>
    <w:rsid w:val="405F175E"/>
    <w:rsid w:val="40C765F3"/>
    <w:rsid w:val="41C755BE"/>
    <w:rsid w:val="4219614A"/>
    <w:rsid w:val="42F869D2"/>
    <w:rsid w:val="43553536"/>
    <w:rsid w:val="44972678"/>
    <w:rsid w:val="451632B9"/>
    <w:rsid w:val="45906394"/>
    <w:rsid w:val="45F60A50"/>
    <w:rsid w:val="46142D0C"/>
    <w:rsid w:val="46970A81"/>
    <w:rsid w:val="46B036BF"/>
    <w:rsid w:val="47282363"/>
    <w:rsid w:val="476B3528"/>
    <w:rsid w:val="47C726B0"/>
    <w:rsid w:val="49DC4EAC"/>
    <w:rsid w:val="49E55BC5"/>
    <w:rsid w:val="4A5B6F0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D63F94"/>
    <w:rsid w:val="66A92706"/>
    <w:rsid w:val="67A858DB"/>
    <w:rsid w:val="67FE4166"/>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B97A9D"/>
    <w:rsid w:val="6EF10A90"/>
    <w:rsid w:val="6FD45BF8"/>
    <w:rsid w:val="6FFF1868"/>
    <w:rsid w:val="71507435"/>
    <w:rsid w:val="715F4C2D"/>
    <w:rsid w:val="722F78FB"/>
    <w:rsid w:val="723D67C5"/>
    <w:rsid w:val="7250627B"/>
    <w:rsid w:val="72BF60CA"/>
    <w:rsid w:val="72F41282"/>
    <w:rsid w:val="733D0D32"/>
    <w:rsid w:val="73D411F1"/>
    <w:rsid w:val="753811DE"/>
    <w:rsid w:val="757733D9"/>
    <w:rsid w:val="75A7114C"/>
    <w:rsid w:val="75BE67D4"/>
    <w:rsid w:val="75C2004C"/>
    <w:rsid w:val="75C759C1"/>
    <w:rsid w:val="760F5DAE"/>
    <w:rsid w:val="762D64F3"/>
    <w:rsid w:val="767E7EFF"/>
    <w:rsid w:val="775B4604"/>
    <w:rsid w:val="77C067C3"/>
    <w:rsid w:val="78911E31"/>
    <w:rsid w:val="7922350F"/>
    <w:rsid w:val="792B5470"/>
    <w:rsid w:val="79C637D8"/>
    <w:rsid w:val="7A9367CB"/>
    <w:rsid w:val="7AF22571"/>
    <w:rsid w:val="7B69224B"/>
    <w:rsid w:val="7BE80F25"/>
    <w:rsid w:val="7BFA7504"/>
    <w:rsid w:val="7C1C35A7"/>
    <w:rsid w:val="7C45431D"/>
    <w:rsid w:val="7D243E1C"/>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2022-09-30T14:05:07Z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